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95" w:rsidRDefault="008C0395">
      <w:r>
        <w:t>APHA session on Friday, January 22, 2010</w:t>
      </w:r>
    </w:p>
    <w:p w:rsidR="008C0395" w:rsidRDefault="008C0395">
      <w:r>
        <w:t>D-209 UW Campus</w:t>
      </w:r>
    </w:p>
    <w:p w:rsidR="008C0395" w:rsidRDefault="008C0395"/>
    <w:p w:rsidR="008C0395" w:rsidRDefault="008C0395"/>
    <w:p w:rsidR="008C0395" w:rsidRDefault="008C0395">
      <w:r>
        <w:t>INTRO</w:t>
      </w:r>
    </w:p>
    <w:p w:rsidR="008C0395" w:rsidRDefault="008C0395" w:rsidP="008C0395">
      <w:pPr>
        <w:ind w:left="720"/>
      </w:pPr>
      <w:r>
        <w:t>Who’s on the panel, what is their interest?</w:t>
      </w:r>
    </w:p>
    <w:p w:rsidR="008C0395" w:rsidRDefault="008C0395" w:rsidP="008C0395">
      <w:pPr>
        <w:ind w:left="720"/>
      </w:pPr>
      <w:r>
        <w:t>How can students get involved in the APHA?</w:t>
      </w:r>
    </w:p>
    <w:p w:rsidR="008C0395" w:rsidRDefault="008C0395" w:rsidP="008C0395">
      <w:pPr>
        <w:ind w:left="720"/>
      </w:pPr>
      <w:r>
        <w:t>Why would you want to get involved in APHA? (see top 10 reasons)</w:t>
      </w:r>
    </w:p>
    <w:p w:rsidR="008C0395" w:rsidRDefault="008C0395" w:rsidP="008C0395">
      <w:pPr>
        <w:ind w:left="720"/>
      </w:pPr>
      <w:r>
        <w:t xml:space="preserve">Discuss membership: </w:t>
      </w:r>
      <w:hyperlink r:id="rId5" w:history="1">
        <w:r w:rsidRPr="00347ACE">
          <w:rPr>
            <w:rStyle w:val="Hyperlink"/>
          </w:rPr>
          <w:t>http://www.apha.org/membergroups/</w:t>
        </w:r>
      </w:hyperlink>
      <w:r>
        <w:t xml:space="preserve"> (see Aaron’s photo there)</w:t>
      </w:r>
    </w:p>
    <w:p w:rsidR="008C0395" w:rsidRDefault="008C0395" w:rsidP="008C0395">
      <w:pPr>
        <w:ind w:left="720"/>
      </w:pPr>
      <w:r>
        <w:t>Venal and Altruistic overlap</w:t>
      </w:r>
    </w:p>
    <w:p w:rsidR="008C0395" w:rsidRDefault="008C0395" w:rsidP="008C0395">
      <w:pPr>
        <w:ind w:left="720"/>
      </w:pPr>
    </w:p>
    <w:p w:rsidR="008C0395" w:rsidRDefault="008C0395" w:rsidP="008C0395">
      <w:r>
        <w:t>POLL the AUDIENCE</w:t>
      </w:r>
    </w:p>
    <w:p w:rsidR="008C0395" w:rsidRDefault="008C0395" w:rsidP="008C0395">
      <w:r>
        <w:tab/>
        <w:t>Who has had involvement in APHA?  Membership? Section interest?</w:t>
      </w:r>
    </w:p>
    <w:p w:rsidR="008C0395" w:rsidRDefault="008C0395" w:rsidP="008C0395"/>
    <w:p w:rsidR="008C0395" w:rsidRDefault="008C0395" w:rsidP="008C0395">
      <w:r>
        <w:t>WEBSITE TOUR</w:t>
      </w:r>
    </w:p>
    <w:p w:rsidR="008C0395" w:rsidRDefault="008C0395" w:rsidP="008C0395">
      <w:r>
        <w:tab/>
        <w:t>ABOUT US:</w:t>
      </w:r>
    </w:p>
    <w:p w:rsidR="008C0395" w:rsidRDefault="008C0395" w:rsidP="008C0395">
      <w:pPr>
        <w:ind w:firstLine="720"/>
      </w:pPr>
      <w:r>
        <w:t>Executive board and staff</w:t>
      </w:r>
    </w:p>
    <w:p w:rsidR="008C0395" w:rsidRDefault="008C0395" w:rsidP="008C0395">
      <w:r>
        <w:tab/>
        <w:t xml:space="preserve">Governing structure </w:t>
      </w:r>
    </w:p>
    <w:p w:rsidR="008C0395" w:rsidRDefault="008C0395" w:rsidP="008C0395">
      <w:r>
        <w:tab/>
      </w:r>
    </w:p>
    <w:p w:rsidR="008C0395" w:rsidRDefault="008C0395" w:rsidP="008C0395">
      <w:r>
        <w:tab/>
        <w:t>ADVOCACY &amp; POLICY:</w:t>
      </w:r>
    </w:p>
    <w:p w:rsidR="008C0395" w:rsidRDefault="008C0395" w:rsidP="008C0395">
      <w:r>
        <w:tab/>
        <w:t>Advocacy activities</w:t>
      </w:r>
    </w:p>
    <w:p w:rsidR="00B1628C" w:rsidRDefault="008C0395" w:rsidP="008C0395">
      <w:r>
        <w:tab/>
        <w:t>Policy statements</w:t>
      </w:r>
    </w:p>
    <w:p w:rsidR="008C0395" w:rsidRDefault="00B1628C" w:rsidP="008C0395">
      <w:r>
        <w:tab/>
      </w:r>
      <w:r>
        <w:tab/>
        <w:t>Note our COPHP students are introducing 2 items this year</w:t>
      </w:r>
    </w:p>
    <w:p w:rsidR="008C0395" w:rsidRDefault="008C0395" w:rsidP="008C0395"/>
    <w:p w:rsidR="008C0395" w:rsidRDefault="008C0395" w:rsidP="008C0395">
      <w:r>
        <w:tab/>
        <w:t>ANNUAL MEETING:</w:t>
      </w:r>
    </w:p>
    <w:p w:rsidR="00B1628C" w:rsidRDefault="008C0395" w:rsidP="008C0395">
      <w:r>
        <w:tab/>
        <w:t>Main page</w:t>
      </w:r>
    </w:p>
    <w:p w:rsidR="00B1628C" w:rsidRDefault="00B1628C" w:rsidP="008C0395">
      <w:r>
        <w:tab/>
        <w:t>Scientific sessions</w:t>
      </w:r>
    </w:p>
    <w:p w:rsidR="00B1628C" w:rsidRDefault="00B1628C" w:rsidP="008C0395"/>
    <w:p w:rsidR="00B1628C" w:rsidRDefault="00B1628C" w:rsidP="008C0395">
      <w:r>
        <w:tab/>
        <w:t>MEMBER GROUPS:</w:t>
      </w:r>
    </w:p>
    <w:p w:rsidR="00B1628C" w:rsidRDefault="00B1628C" w:rsidP="008C0395">
      <w:r>
        <w:tab/>
        <w:t>Scientific sessions</w:t>
      </w:r>
    </w:p>
    <w:p w:rsidR="00B1628C" w:rsidRDefault="00B1628C" w:rsidP="008C0395">
      <w:r>
        <w:tab/>
        <w:t>Caucuses (descriptions link)</w:t>
      </w:r>
    </w:p>
    <w:p w:rsidR="00B1628C" w:rsidRDefault="00B1628C" w:rsidP="008C0395">
      <w:r>
        <w:tab/>
        <w:t>Student Assembly</w:t>
      </w:r>
    </w:p>
    <w:p w:rsidR="00B1628C" w:rsidRDefault="00B1628C" w:rsidP="008C0395"/>
    <w:p w:rsidR="00B1628C" w:rsidRDefault="00B1628C" w:rsidP="008C0395">
      <w:r>
        <w:tab/>
        <w:t>PROGRAMS &amp; RESOURCES:</w:t>
      </w:r>
    </w:p>
    <w:p w:rsidR="00B1628C" w:rsidRDefault="00B1628C" w:rsidP="008C0395">
      <w:r>
        <w:tab/>
        <w:t xml:space="preserve">Global Health </w:t>
      </w:r>
    </w:p>
    <w:p w:rsidR="00B1628C" w:rsidRDefault="00B1628C" w:rsidP="008C0395">
      <w:r>
        <w:tab/>
        <w:t>Disparities</w:t>
      </w:r>
    </w:p>
    <w:p w:rsidR="00B1628C" w:rsidRDefault="00B1628C" w:rsidP="008C0395"/>
    <w:p w:rsidR="00B1628C" w:rsidRDefault="00B1628C" w:rsidP="008C0395">
      <w:r>
        <w:t>SUBMITTING AN ABSTRACT</w:t>
      </w:r>
    </w:p>
    <w:p w:rsidR="00B1628C" w:rsidRDefault="00B1628C" w:rsidP="008C0395">
      <w:r>
        <w:tab/>
        <w:t>Look at “Annual Meeting-Scientific Sessions” page in more detail</w:t>
      </w:r>
    </w:p>
    <w:p w:rsidR="00B1628C" w:rsidRDefault="00B1628C" w:rsidP="00B1628C">
      <w:pPr>
        <w:ind w:left="1440" w:hanging="1440"/>
      </w:pPr>
      <w:r>
        <w:tab/>
        <w:t>[</w:t>
      </w:r>
      <w:r>
        <w:rPr>
          <w:rStyle w:val="Strong"/>
          <w:rFonts w:ascii="Verdana" w:hAnsi="Verdana"/>
        </w:rPr>
        <w:t>2010 Theme -</w:t>
      </w:r>
      <w:r>
        <w:rPr>
          <w:rFonts w:ascii="Verdana" w:hAnsi="Verdana"/>
        </w:rPr>
        <w:t xml:space="preserve"> "Social Justice: A Public Health Imperative."]</w:t>
      </w:r>
    </w:p>
    <w:p w:rsidR="0098640B" w:rsidRDefault="00B1628C" w:rsidP="008C0395">
      <w:r>
        <w:tab/>
        <w:t>Oral, poster, round table</w:t>
      </w:r>
      <w:r w:rsidR="0098640B">
        <w:t xml:space="preserve"> options</w:t>
      </w:r>
    </w:p>
    <w:p w:rsidR="00B1628C" w:rsidRDefault="0098640B" w:rsidP="008C0395">
      <w:r>
        <w:tab/>
        <w:t>Discuss the delicate topic of submitting unfinished work</w:t>
      </w:r>
    </w:p>
    <w:p w:rsidR="008C0395" w:rsidRDefault="00B1628C" w:rsidP="008C0395">
      <w:r>
        <w:tab/>
        <w:t>Present a sample abstract</w:t>
      </w:r>
      <w:r w:rsidR="0098640B">
        <w:t xml:space="preserve"> (can we post these to a website for student access?)</w:t>
      </w:r>
    </w:p>
    <w:p w:rsidR="008C0395" w:rsidRDefault="008C0395" w:rsidP="008C0395">
      <w:r>
        <w:tab/>
      </w:r>
    </w:p>
    <w:p w:rsidR="008C0395" w:rsidRDefault="008C0395" w:rsidP="008C0395"/>
    <w:p w:rsidR="008C0395" w:rsidRDefault="008C0395"/>
    <w:p w:rsidR="008C0395" w:rsidRDefault="008C0395"/>
    <w:p w:rsidR="008C0395" w:rsidRDefault="008C0395"/>
    <w:p w:rsidR="008C0395" w:rsidRDefault="008C0395"/>
    <w:p w:rsidR="008C0395" w:rsidRDefault="008C0395"/>
    <w:p w:rsidR="008C0395" w:rsidRPr="008C0395" w:rsidRDefault="008C0395" w:rsidP="008C0395">
      <w:pPr>
        <w:pBdr>
          <w:bottom w:val="single" w:sz="4" w:space="1" w:color="auto"/>
        </w:pBdr>
        <w:rPr>
          <w:b/>
        </w:rPr>
      </w:pPr>
      <w:r w:rsidRPr="008C0395">
        <w:rPr>
          <w:b/>
        </w:rPr>
        <w:t>MEMBERSHIP FACTOIDS:</w:t>
      </w:r>
    </w:p>
    <w:p w:rsidR="008C0395" w:rsidRDefault="008C0395" w:rsidP="008C0395">
      <w:pPr>
        <w:rPr>
          <w:rFonts w:ascii="Verdana" w:hAnsi="Verdana"/>
        </w:rPr>
      </w:pPr>
      <w:r>
        <w:t>Membership:</w:t>
      </w:r>
      <w:r>
        <w:rPr>
          <w:rFonts w:ascii="Verdana" w:hAnsi="Verdana"/>
        </w:rPr>
        <w:t xml:space="preserve"> Members have the option to choose up to three member units with a $30 fee for each additional Section/SPIG.  The first unit is still free.</w:t>
      </w:r>
    </w:p>
    <w:p w:rsidR="008C0395" w:rsidRPr="008C0395" w:rsidRDefault="008C0395" w:rsidP="008C0395">
      <w:pPr>
        <w:pStyle w:val="NormalWeb"/>
        <w:spacing w:before="2" w:after="2"/>
        <w:rPr>
          <w:rFonts w:ascii="Verdana" w:hAnsi="Verdana"/>
        </w:rPr>
      </w:pPr>
      <w:r>
        <w:rPr>
          <w:rStyle w:val="Strong"/>
          <w:rFonts w:ascii="Verdana" w:hAnsi="Verdana"/>
        </w:rPr>
        <w:t xml:space="preserve">Regular Member </w:t>
      </w:r>
      <w:r>
        <w:rPr>
          <w:rFonts w:ascii="Verdana" w:hAnsi="Verdana"/>
          <w:b/>
        </w:rPr>
        <w:br/>
      </w:r>
      <w:r>
        <w:rPr>
          <w:rFonts w:ascii="Verdana" w:hAnsi="Verdana"/>
        </w:rPr>
        <w:t>$195</w:t>
      </w:r>
      <w:r>
        <w:rPr>
          <w:rFonts w:ascii="Verdana" w:hAnsi="Verdana"/>
        </w:rPr>
        <w:br/>
      </w:r>
    </w:p>
    <w:p w:rsidR="008C0395" w:rsidRDefault="008C0395" w:rsidP="008C0395">
      <w:pPr>
        <w:pStyle w:val="NormalWeb"/>
        <w:spacing w:before="2" w:after="2"/>
        <w:rPr>
          <w:rFonts w:ascii="Verdana" w:hAnsi="Verdana"/>
        </w:rPr>
      </w:pPr>
      <w:r>
        <w:rPr>
          <w:rStyle w:val="Strong"/>
          <w:rFonts w:ascii="Verdana" w:hAnsi="Verdana"/>
        </w:rPr>
        <w:t xml:space="preserve">Contributing Member </w:t>
      </w:r>
      <w:r>
        <w:rPr>
          <w:rFonts w:ascii="Verdana" w:hAnsi="Verdana"/>
          <w:b/>
        </w:rPr>
        <w:br/>
      </w:r>
      <w:r w:rsidR="0098640B">
        <w:rPr>
          <w:rFonts w:ascii="Verdana" w:hAnsi="Verdana"/>
        </w:rPr>
        <w:t xml:space="preserve">$250 </w:t>
      </w:r>
      <w:r>
        <w:rPr>
          <w:rFonts w:ascii="Verdana" w:hAnsi="Verdana"/>
        </w:rPr>
        <w:t xml:space="preserve">includes extra benefits and recognition at the Annual Meeting. </w:t>
      </w:r>
      <w:r>
        <w:rPr>
          <w:rFonts w:ascii="Verdana" w:hAnsi="Verdana"/>
        </w:rPr>
        <w:br/>
      </w:r>
      <w:r>
        <w:rPr>
          <w:rFonts w:ascii="Verdana" w:hAnsi="Verdana"/>
        </w:rPr>
        <w:br/>
      </w:r>
      <w:r>
        <w:rPr>
          <w:rFonts w:ascii="Verdana" w:hAnsi="Verdana"/>
          <w:b/>
        </w:rPr>
        <w:t xml:space="preserve">Special Subsidized Memberships </w:t>
      </w:r>
      <w:r>
        <w:rPr>
          <w:rFonts w:ascii="Verdana" w:hAnsi="Verdana"/>
        </w:rPr>
        <w:br/>
      </w:r>
      <w:r w:rsidRPr="0098640B">
        <w:rPr>
          <w:rFonts w:ascii="Verdana" w:hAnsi="Verdana"/>
          <w:b/>
          <w:highlight w:val="yellow"/>
        </w:rPr>
        <w:t>Student Member</w:t>
      </w:r>
      <w:r w:rsidR="0098640B">
        <w:rPr>
          <w:rFonts w:ascii="Verdana" w:hAnsi="Verdana"/>
        </w:rPr>
        <w:br/>
        <w:t xml:space="preserve">$60 </w:t>
      </w:r>
      <w:r>
        <w:rPr>
          <w:rFonts w:ascii="Verdana" w:hAnsi="Verdana"/>
        </w:rPr>
        <w:t xml:space="preserve">Must be enrolled full time (a minimum of 9 credit hours) in a college or university. Proof of student status from the Registrar’s office confirming full time status is required. </w:t>
      </w:r>
    </w:p>
    <w:p w:rsidR="008C0395" w:rsidRDefault="008C0395" w:rsidP="008C0395">
      <w:pPr>
        <w:pStyle w:val="NormalWeb"/>
        <w:spacing w:before="2" w:after="2"/>
      </w:pPr>
    </w:p>
    <w:p w:rsidR="008C0395" w:rsidRDefault="008C0395" w:rsidP="008C0395">
      <w:pPr>
        <w:pStyle w:val="NormalWeb"/>
        <w:spacing w:before="2" w:after="2"/>
      </w:pPr>
      <w:r>
        <w:rPr>
          <w:rStyle w:val="Strong"/>
          <w:rFonts w:ascii="Verdana" w:hAnsi="Verdana"/>
        </w:rPr>
        <w:t>Transitional Member</w:t>
      </w:r>
      <w:r>
        <w:rPr>
          <w:rFonts w:ascii="Verdana" w:hAnsi="Verdana"/>
        </w:rPr>
        <w:br/>
        <w:t>$110</w:t>
      </w:r>
      <w:r>
        <w:rPr>
          <w:rFonts w:ascii="Verdana" w:hAnsi="Verdana"/>
        </w:rPr>
        <w:br/>
        <w:t>Open only to current APHA student members who have completed their degree.  This member type is only available for one 12-month period.  It includes all of the same benefits as a Regular member noted above.</w:t>
      </w:r>
      <w:r>
        <w:rPr>
          <w:rFonts w:ascii="Verdana" w:hAnsi="Verdana"/>
        </w:rPr>
        <w:br/>
      </w:r>
      <w:r>
        <w:rPr>
          <w:rFonts w:ascii="Verdana" w:hAnsi="Verdana"/>
        </w:rPr>
        <w:br/>
      </w:r>
      <w:r>
        <w:rPr>
          <w:rFonts w:ascii="Verdana" w:hAnsi="Verdana"/>
          <w:b/>
        </w:rPr>
        <w:t>Retired Member</w:t>
      </w:r>
      <w:r>
        <w:rPr>
          <w:rFonts w:ascii="Verdana" w:hAnsi="Verdana"/>
        </w:rPr>
        <w:br/>
        <w:t xml:space="preserve">$80 Must be retired from active public health practice and no longer deriving substantial income from work-related activities. </w:t>
      </w:r>
      <w:r>
        <w:rPr>
          <w:rFonts w:ascii="Verdana" w:hAnsi="Verdana"/>
        </w:rPr>
        <w:br/>
      </w:r>
      <w:r>
        <w:rPr>
          <w:rFonts w:ascii="Verdana" w:hAnsi="Verdana"/>
        </w:rPr>
        <w:br/>
      </w:r>
      <w:r>
        <w:rPr>
          <w:rFonts w:ascii="Verdana" w:hAnsi="Verdana"/>
          <w:b/>
        </w:rPr>
        <w:t>Consumer Member</w:t>
      </w:r>
      <w:r>
        <w:rPr>
          <w:rFonts w:ascii="Verdana" w:hAnsi="Verdana"/>
        </w:rPr>
        <w:br/>
        <w:t xml:space="preserve">$80 Must be employed outside of the realm of public health and not deriving income from health related activities. </w:t>
      </w:r>
      <w:r>
        <w:rPr>
          <w:rFonts w:ascii="Verdana" w:hAnsi="Verdana"/>
        </w:rPr>
        <w:br/>
      </w:r>
      <w:r>
        <w:rPr>
          <w:rFonts w:ascii="Verdana" w:hAnsi="Verdana"/>
        </w:rPr>
        <w:br/>
      </w:r>
      <w:r>
        <w:rPr>
          <w:rFonts w:ascii="Verdana" w:hAnsi="Verdana"/>
          <w:b/>
        </w:rPr>
        <w:t>Special Health Worker Member</w:t>
      </w:r>
      <w:r>
        <w:rPr>
          <w:rFonts w:ascii="Verdana" w:hAnsi="Verdana"/>
        </w:rPr>
        <w:br/>
        <w:t>$80 Must be employed in community health with annual salary of less than $40,000 or the equivalent in foreign nations (W2 form or letter from employer verifying income must be attached).</w:t>
      </w:r>
    </w:p>
    <w:p w:rsidR="0098640B" w:rsidRDefault="0098640B" w:rsidP="008C0395">
      <w:pPr>
        <w:pStyle w:val="Heading1"/>
        <w:spacing w:before="2" w:after="2"/>
      </w:pPr>
    </w:p>
    <w:p w:rsidR="008C0395" w:rsidRDefault="008C0395" w:rsidP="0098640B">
      <w:pPr>
        <w:pStyle w:val="Heading1"/>
        <w:pBdr>
          <w:bottom w:val="single" w:sz="4" w:space="1" w:color="auto"/>
        </w:pBdr>
        <w:spacing w:before="2" w:after="2"/>
      </w:pPr>
      <w:r>
        <w:t>Priorities</w:t>
      </w:r>
    </w:p>
    <w:p w:rsidR="008C0395" w:rsidRDefault="008C0395" w:rsidP="008C0395">
      <w:pPr>
        <w:pStyle w:val="NormalWeb"/>
        <w:spacing w:before="2" w:after="2"/>
      </w:pPr>
      <w:r>
        <w:rPr>
          <w:rStyle w:val="Strong"/>
          <w:rFonts w:ascii="Verdana" w:hAnsi="Verdana"/>
        </w:rPr>
        <w:t>Overarching Priorities:</w:t>
      </w:r>
      <w:r>
        <w:rPr>
          <w:rFonts w:ascii="Verdana" w:hAnsi="Verdana"/>
        </w:rPr>
        <w:t xml:space="preserve"> APHA is the oldest organization of public health professionals and represents more than 50,000 members from over 50 public health occupations. We focus our advocacy and policy work around three overarching priority areas:</w:t>
      </w:r>
      <w:r>
        <w:t xml:space="preserve"> </w:t>
      </w:r>
    </w:p>
    <w:p w:rsidR="008C0395" w:rsidRDefault="008C0395" w:rsidP="008C0395">
      <w:pPr>
        <w:numPr>
          <w:ilvl w:val="0"/>
          <w:numId w:val="2"/>
        </w:numPr>
        <w:spacing w:beforeLines="1" w:afterLines="1"/>
      </w:pPr>
      <w:hyperlink r:id="rId6" w:history="1">
        <w:r>
          <w:rPr>
            <w:rStyle w:val="Hyperlink"/>
            <w:rFonts w:ascii="Verdana" w:hAnsi="Verdana"/>
          </w:rPr>
          <w:t>Rebuilding the Public Health Infrastructure</w:t>
        </w:r>
      </w:hyperlink>
      <w:r>
        <w:t xml:space="preserve"> </w:t>
      </w:r>
    </w:p>
    <w:p w:rsidR="008C0395" w:rsidRDefault="008C0395" w:rsidP="008C0395">
      <w:pPr>
        <w:numPr>
          <w:ilvl w:val="0"/>
          <w:numId w:val="2"/>
        </w:numPr>
        <w:spacing w:beforeLines="1" w:afterLines="1"/>
      </w:pPr>
      <w:hyperlink r:id="rId7" w:history="1">
        <w:r>
          <w:rPr>
            <w:rStyle w:val="Hyperlink"/>
            <w:rFonts w:ascii="Verdana" w:hAnsi="Verdana"/>
          </w:rPr>
          <w:t>Ensuring Access to Health Care</w:t>
        </w:r>
      </w:hyperlink>
      <w:r>
        <w:t xml:space="preserve"> </w:t>
      </w:r>
    </w:p>
    <w:p w:rsidR="008C0395" w:rsidRDefault="008C0395" w:rsidP="008C0395">
      <w:pPr>
        <w:numPr>
          <w:ilvl w:val="0"/>
          <w:numId w:val="2"/>
        </w:numPr>
        <w:spacing w:beforeLines="1" w:afterLines="1"/>
      </w:pPr>
      <w:hyperlink r:id="rId8" w:history="1">
        <w:r>
          <w:rPr>
            <w:rStyle w:val="Hyperlink"/>
            <w:rFonts w:ascii="Verdana" w:hAnsi="Verdana"/>
          </w:rPr>
          <w:t>Eliminating Health Disparities</w:t>
        </w:r>
      </w:hyperlink>
    </w:p>
    <w:p w:rsidR="008C0395" w:rsidRDefault="008C0395" w:rsidP="008C0395">
      <w:pPr>
        <w:pStyle w:val="NormalWeb"/>
        <w:spacing w:before="2" w:after="2"/>
      </w:pPr>
      <w:r>
        <w:rPr>
          <w:rStyle w:val="Strong"/>
          <w:rFonts w:ascii="Verdana" w:hAnsi="Verdana"/>
        </w:rPr>
        <w:t>2009 Legislative Priorities:</w:t>
      </w:r>
      <w:r>
        <w:rPr>
          <w:rFonts w:ascii="Verdana" w:hAnsi="Verdana"/>
        </w:rPr>
        <w:t xml:space="preserve"> APHA will be involved in a number of legislative issued during the 111th Congress. This year, our federal </w:t>
      </w:r>
      <w:r w:rsidR="0098640B">
        <w:rPr>
          <w:rFonts w:ascii="Verdana" w:hAnsi="Verdana"/>
        </w:rPr>
        <w:t>legislative advocacy priorities:</w:t>
      </w:r>
    </w:p>
    <w:p w:rsidR="008C0395" w:rsidRDefault="008C0395" w:rsidP="008C0395">
      <w:pPr>
        <w:numPr>
          <w:ilvl w:val="0"/>
          <w:numId w:val="3"/>
        </w:numPr>
        <w:spacing w:beforeLines="1" w:afterLines="1"/>
      </w:pPr>
      <w:hyperlink r:id="rId9" w:history="1">
        <w:r>
          <w:rPr>
            <w:rStyle w:val="Hyperlink"/>
            <w:rFonts w:ascii="Verdana" w:hAnsi="Verdana"/>
          </w:rPr>
          <w:t>Public Health Funding</w:t>
        </w:r>
      </w:hyperlink>
      <w:r>
        <w:t xml:space="preserve"> </w:t>
      </w:r>
    </w:p>
    <w:p w:rsidR="008C0395" w:rsidRDefault="008C0395" w:rsidP="008C0395">
      <w:pPr>
        <w:numPr>
          <w:ilvl w:val="0"/>
          <w:numId w:val="3"/>
        </w:numPr>
        <w:spacing w:beforeLines="1" w:afterLines="1"/>
      </w:pPr>
      <w:hyperlink r:id="rId10" w:history="1">
        <w:r>
          <w:rPr>
            <w:rStyle w:val="Hyperlink"/>
            <w:rFonts w:ascii="Verdana" w:hAnsi="Verdana"/>
          </w:rPr>
          <w:t>Health Reform</w:t>
        </w:r>
      </w:hyperlink>
      <w:r>
        <w:t xml:space="preserve"> </w:t>
      </w:r>
    </w:p>
    <w:p w:rsidR="008C0395" w:rsidRDefault="008C0395" w:rsidP="008C0395">
      <w:pPr>
        <w:numPr>
          <w:ilvl w:val="0"/>
          <w:numId w:val="3"/>
        </w:numPr>
        <w:spacing w:beforeLines="1" w:afterLines="1"/>
      </w:pPr>
      <w:hyperlink r:id="rId11" w:history="1">
        <w:r>
          <w:rPr>
            <w:rStyle w:val="Hyperlink"/>
            <w:rFonts w:ascii="Verdana" w:hAnsi="Verdana"/>
          </w:rPr>
          <w:t>Transportation Issues</w:t>
        </w:r>
      </w:hyperlink>
      <w:r>
        <w:t xml:space="preserve"> </w:t>
      </w:r>
    </w:p>
    <w:p w:rsidR="008C0395" w:rsidRDefault="008C0395" w:rsidP="008C0395">
      <w:pPr>
        <w:numPr>
          <w:ilvl w:val="0"/>
          <w:numId w:val="3"/>
        </w:numPr>
        <w:spacing w:beforeLines="1" w:afterLines="1"/>
      </w:pPr>
      <w:hyperlink r:id="rId12" w:history="1">
        <w:r>
          <w:rPr>
            <w:rStyle w:val="Hyperlink"/>
            <w:rFonts w:ascii="Verdana" w:hAnsi="Verdana"/>
          </w:rPr>
          <w:t>Global Climate Change Legislation</w:t>
        </w:r>
      </w:hyperlink>
      <w:r>
        <w:t xml:space="preserve"> </w:t>
      </w:r>
    </w:p>
    <w:p w:rsidR="008C0395" w:rsidRDefault="008C0395" w:rsidP="008C0395">
      <w:pPr>
        <w:numPr>
          <w:ilvl w:val="0"/>
          <w:numId w:val="3"/>
        </w:numPr>
        <w:spacing w:beforeLines="1" w:afterLines="1"/>
      </w:pPr>
      <w:hyperlink r:id="rId13" w:history="1">
        <w:r>
          <w:rPr>
            <w:rStyle w:val="Hyperlink"/>
            <w:rFonts w:ascii="Verdana" w:hAnsi="Verdana"/>
          </w:rPr>
          <w:t>FDA Regulation of Tobacco Products</w:t>
        </w:r>
      </w:hyperlink>
    </w:p>
    <w:p w:rsidR="00B1628C" w:rsidRDefault="00B1628C" w:rsidP="008C0395">
      <w:pPr>
        <w:pStyle w:val="Heading2"/>
        <w:pBdr>
          <w:bottom w:val="single" w:sz="4" w:space="1" w:color="auto"/>
        </w:pBdr>
        <w:spacing w:before="2" w:after="2"/>
      </w:pPr>
    </w:p>
    <w:p w:rsidR="00B1628C" w:rsidRPr="00B1628C" w:rsidRDefault="00B1628C" w:rsidP="00B1628C">
      <w:pPr>
        <w:spacing w:beforeLines="1" w:afterLines="1"/>
        <w:rPr>
          <w:rFonts w:ascii="Times" w:hAnsi="Times" w:cs="Times New Roman"/>
          <w:sz w:val="20"/>
          <w:szCs w:val="20"/>
        </w:rPr>
      </w:pPr>
      <w:r w:rsidRPr="00B1628C">
        <w:rPr>
          <w:rFonts w:ascii="Verdana" w:hAnsi="Verdana" w:cs="Times New Roman"/>
          <w:b/>
          <w:sz w:val="20"/>
          <w:szCs w:val="20"/>
        </w:rPr>
        <w:t>2010 Presenter Time Line</w:t>
      </w:r>
    </w:p>
    <w:p w:rsidR="00B1628C" w:rsidRPr="00B1628C" w:rsidRDefault="00B1628C" w:rsidP="00B1628C">
      <w:pPr>
        <w:spacing w:beforeLines="1" w:afterLines="1"/>
        <w:rPr>
          <w:rFonts w:ascii="Verdana" w:hAnsi="Verdana" w:cs="Times New Roman"/>
          <w:vanish/>
          <w:sz w:val="20"/>
          <w:szCs w:val="20"/>
        </w:rPr>
      </w:pPr>
    </w:p>
    <w:tbl>
      <w:tblPr>
        <w:tblW w:w="6525" w:type="dxa"/>
        <w:tblCellSpacing w:w="0" w:type="dxa"/>
        <w:tblBorders>
          <w:top w:val="outset" w:sz="8" w:space="0" w:color="999999"/>
          <w:left w:val="outset" w:sz="8" w:space="0" w:color="999999"/>
          <w:bottom w:val="outset" w:sz="8" w:space="0" w:color="999999"/>
          <w:right w:val="outset" w:sz="8" w:space="0" w:color="999999"/>
        </w:tblBorders>
        <w:tblCellMar>
          <w:left w:w="0" w:type="dxa"/>
          <w:right w:w="0" w:type="dxa"/>
        </w:tblCellMar>
        <w:tblLook w:val="0000"/>
      </w:tblPr>
      <w:tblGrid>
        <w:gridCol w:w="2205"/>
        <w:gridCol w:w="4320"/>
      </w:tblGrid>
      <w:tr w:rsidR="00B1628C" w:rsidRPr="00B1628C">
        <w:trPr>
          <w:tblCellSpacing w:w="0" w:type="dxa"/>
        </w:trPr>
        <w:tc>
          <w:tcPr>
            <w:tcW w:w="2205"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Feb. 1-5, 2010</w:t>
            </w:r>
          </w:p>
        </w:tc>
        <w:tc>
          <w:tcPr>
            <w:tcW w:w="4320"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Deadline for Abstract submission</w:t>
            </w:r>
          </w:p>
        </w:tc>
      </w:tr>
      <w:tr w:rsidR="00B1628C" w:rsidRPr="00B1628C">
        <w:trPr>
          <w:tblCellSpacing w:w="0" w:type="dxa"/>
        </w:trPr>
        <w:tc>
          <w:tcPr>
            <w:tcW w:w="2205"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June 1, 2010</w:t>
            </w:r>
          </w:p>
        </w:tc>
        <w:tc>
          <w:tcPr>
            <w:tcW w:w="4320"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Email Notification of status sent to Abstract submitters</w:t>
            </w:r>
          </w:p>
        </w:tc>
      </w:tr>
      <w:tr w:rsidR="00B1628C" w:rsidRPr="00B1628C">
        <w:trPr>
          <w:tblCellSpacing w:w="0" w:type="dxa"/>
        </w:trPr>
        <w:tc>
          <w:tcPr>
            <w:tcW w:w="2205"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July 23, 2010</w:t>
            </w:r>
          </w:p>
        </w:tc>
        <w:tc>
          <w:tcPr>
            <w:tcW w:w="4320"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Speaker confirmation letters emailed to all accepted session presenters confirming presentation date, time and location</w:t>
            </w:r>
          </w:p>
        </w:tc>
      </w:tr>
      <w:tr w:rsidR="00B1628C" w:rsidRPr="00B1628C">
        <w:trPr>
          <w:tblCellSpacing w:w="0" w:type="dxa"/>
        </w:trPr>
        <w:tc>
          <w:tcPr>
            <w:tcW w:w="2205"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August 6, 2010</w:t>
            </w:r>
          </w:p>
        </w:tc>
        <w:tc>
          <w:tcPr>
            <w:tcW w:w="4320"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Deadline to withdraw an abstract without penalty</w:t>
            </w:r>
          </w:p>
        </w:tc>
      </w:tr>
      <w:tr w:rsidR="00B1628C" w:rsidRPr="00B1628C">
        <w:trPr>
          <w:tblCellSpacing w:w="0" w:type="dxa"/>
        </w:trPr>
        <w:tc>
          <w:tcPr>
            <w:tcW w:w="2205"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October 1, 2010</w:t>
            </w:r>
          </w:p>
        </w:tc>
        <w:tc>
          <w:tcPr>
            <w:tcW w:w="4320"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Final Advance Registration Deadline</w:t>
            </w:r>
            <w:r w:rsidRPr="00B1628C">
              <w:rPr>
                <w:rFonts w:ascii="Verdana" w:hAnsi="Verdana" w:cs="Times New Roman"/>
                <w:color w:val="000000"/>
                <w:sz w:val="20"/>
                <w:szCs w:val="20"/>
              </w:rPr>
              <w:br/>
              <w:t>Presenters must be registered by this date</w:t>
            </w:r>
          </w:p>
        </w:tc>
      </w:tr>
      <w:tr w:rsidR="00B1628C" w:rsidRPr="00B1628C">
        <w:trPr>
          <w:tblCellSpacing w:w="0" w:type="dxa"/>
        </w:trPr>
        <w:tc>
          <w:tcPr>
            <w:tcW w:w="2205"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October 8, 2010</w:t>
            </w:r>
          </w:p>
        </w:tc>
        <w:tc>
          <w:tcPr>
            <w:tcW w:w="4320"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APHA Housing Services Reservation Deadline</w:t>
            </w:r>
          </w:p>
        </w:tc>
      </w:tr>
      <w:tr w:rsidR="00B1628C" w:rsidRPr="00B1628C">
        <w:trPr>
          <w:tblCellSpacing w:w="0" w:type="dxa"/>
        </w:trPr>
        <w:tc>
          <w:tcPr>
            <w:tcW w:w="2205"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November 2, 2010</w:t>
            </w:r>
          </w:p>
        </w:tc>
        <w:tc>
          <w:tcPr>
            <w:tcW w:w="4320"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Deadline for Oral Session Presenters to upload their presentations</w:t>
            </w:r>
          </w:p>
        </w:tc>
      </w:tr>
      <w:tr w:rsidR="00B1628C" w:rsidRPr="00B1628C">
        <w:trPr>
          <w:tblCellSpacing w:w="0" w:type="dxa"/>
        </w:trPr>
        <w:tc>
          <w:tcPr>
            <w:tcW w:w="2205"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November 6-10, 2010</w:t>
            </w:r>
          </w:p>
        </w:tc>
        <w:tc>
          <w:tcPr>
            <w:tcW w:w="4320" w:type="dxa"/>
            <w:tcBorders>
              <w:top w:val="outset" w:sz="8" w:space="0" w:color="999999"/>
              <w:left w:val="outset" w:sz="8" w:space="0" w:color="999999"/>
              <w:bottom w:val="outset" w:sz="8" w:space="0" w:color="999999"/>
              <w:right w:val="outset" w:sz="8" w:space="0" w:color="999999"/>
            </w:tcBorders>
            <w:shd w:val="clear" w:color="auto" w:fill="auto"/>
            <w:tcMar>
              <w:top w:w="30" w:type="dxa"/>
              <w:left w:w="30" w:type="dxa"/>
              <w:bottom w:w="30" w:type="dxa"/>
              <w:right w:w="30" w:type="dxa"/>
            </w:tcMar>
            <w:vAlign w:val="center"/>
          </w:tcPr>
          <w:p w:rsidR="00093391" w:rsidRPr="00B1628C" w:rsidRDefault="00B1628C" w:rsidP="00B1628C">
            <w:pPr>
              <w:spacing w:beforeLines="1" w:afterLines="1"/>
              <w:rPr>
                <w:rFonts w:ascii="Times" w:hAnsi="Times" w:cs="Times New Roman"/>
                <w:sz w:val="20"/>
                <w:szCs w:val="20"/>
              </w:rPr>
            </w:pPr>
            <w:r w:rsidRPr="00B1628C">
              <w:rPr>
                <w:rFonts w:ascii="Verdana" w:hAnsi="Verdana" w:cs="Times New Roman"/>
                <w:color w:val="000000"/>
                <w:sz w:val="20"/>
                <w:szCs w:val="20"/>
              </w:rPr>
              <w:t>APHA Annual Meeting in Denver, CO</w:t>
            </w:r>
          </w:p>
        </w:tc>
      </w:tr>
    </w:tbl>
    <w:p w:rsidR="0098640B" w:rsidRDefault="0098640B" w:rsidP="008C0395">
      <w:pPr>
        <w:pStyle w:val="Heading2"/>
        <w:pBdr>
          <w:bottom w:val="single" w:sz="4" w:space="1" w:color="auto"/>
        </w:pBdr>
        <w:spacing w:before="2" w:after="2"/>
      </w:pPr>
    </w:p>
    <w:p w:rsidR="008C0395" w:rsidRPr="008C0395" w:rsidRDefault="008C0395" w:rsidP="008C0395">
      <w:pPr>
        <w:pStyle w:val="Heading2"/>
        <w:pBdr>
          <w:bottom w:val="single" w:sz="4" w:space="1" w:color="auto"/>
        </w:pBdr>
        <w:spacing w:before="2" w:after="2"/>
      </w:pPr>
      <w:r w:rsidRPr="008C0395">
        <w:t>APHA Student Assembly</w:t>
      </w:r>
    </w:p>
    <w:p w:rsidR="008C0395" w:rsidRPr="008C0395" w:rsidRDefault="008C0395" w:rsidP="008C0395">
      <w:pPr>
        <w:pStyle w:val="NormalWeb"/>
        <w:spacing w:before="2" w:after="2"/>
      </w:pPr>
      <w:r w:rsidRPr="008C0395">
        <w:rPr>
          <w:rFonts w:ascii="Verdana" w:hAnsi="Verdana"/>
          <w:b/>
          <w:color w:val="000000"/>
        </w:rPr>
        <w:t>Mission</w:t>
      </w:r>
    </w:p>
    <w:p w:rsidR="008C0395" w:rsidRPr="008C0395" w:rsidRDefault="008C0395" w:rsidP="008C0395">
      <w:pPr>
        <w:spacing w:beforeLines="1" w:afterLines="1"/>
        <w:rPr>
          <w:rFonts w:ascii="Times" w:hAnsi="Times" w:cs="Times New Roman"/>
          <w:sz w:val="20"/>
          <w:szCs w:val="20"/>
        </w:rPr>
      </w:pPr>
      <w:r w:rsidRPr="008C0395">
        <w:rPr>
          <w:rFonts w:ascii="Verdana" w:hAnsi="Verdana" w:cs="Times New Roman"/>
          <w:sz w:val="20"/>
          <w:szCs w:val="20"/>
        </w:rPr>
        <w:t xml:space="preserve">APHA-SA is a student-led international organization within the </w:t>
      </w:r>
      <w:hyperlink r:id="rId14" w:history="1">
        <w:r w:rsidRPr="008C0395">
          <w:rPr>
            <w:rFonts w:ascii="Verdana" w:hAnsi="Verdana" w:cs="Times New Roman"/>
            <w:color w:val="005EC6"/>
            <w:sz w:val="20"/>
            <w:szCs w:val="20"/>
            <w:u w:val="single"/>
          </w:rPr>
          <w:t>American Public Health Association</w:t>
        </w:r>
      </w:hyperlink>
      <w:r w:rsidRPr="008C0395">
        <w:rPr>
          <w:rFonts w:ascii="Verdana" w:hAnsi="Verdana" w:cs="Times New Roman"/>
          <w:sz w:val="20"/>
          <w:szCs w:val="20"/>
        </w:rPr>
        <w:t xml:space="preserve"> (APHA) representing students of public health and other related disciplines. We are dedicated to enhancing students' professional development by providing resources, fostering diversity and promoting opportunities.</w:t>
      </w:r>
    </w:p>
    <w:p w:rsidR="008C0395" w:rsidRPr="008C0395" w:rsidRDefault="008C0395" w:rsidP="008C0395">
      <w:pPr>
        <w:spacing w:beforeLines="1" w:afterLines="1"/>
        <w:rPr>
          <w:rFonts w:ascii="Times" w:hAnsi="Times" w:cs="Times New Roman"/>
          <w:sz w:val="20"/>
          <w:szCs w:val="20"/>
        </w:rPr>
      </w:pPr>
      <w:r w:rsidRPr="008C0395">
        <w:rPr>
          <w:rFonts w:ascii="Verdana" w:hAnsi="Verdana" w:cs="Times New Roman"/>
          <w:sz w:val="20"/>
          <w:szCs w:val="20"/>
        </w:rPr>
        <w:t xml:space="preserve">According to </w:t>
      </w:r>
      <w:hyperlink r:id="rId15" w:history="1">
        <w:r w:rsidRPr="008C0395">
          <w:rPr>
            <w:rFonts w:ascii="Verdana" w:hAnsi="Verdana" w:cs="Times New Roman"/>
            <w:color w:val="005EC6"/>
            <w:sz w:val="20"/>
            <w:szCs w:val="20"/>
            <w:u w:val="single"/>
          </w:rPr>
          <w:t>APHA-SA's Strategic Plan</w:t>
        </w:r>
      </w:hyperlink>
      <w:r w:rsidRPr="008C0395">
        <w:rPr>
          <w:rFonts w:ascii="Verdana" w:hAnsi="Verdana" w:cs="Times New Roman"/>
          <w:color w:val="000000"/>
          <w:sz w:val="20"/>
          <w:szCs w:val="20"/>
        </w:rPr>
        <w:t>, APHA</w:t>
      </w:r>
      <w:r w:rsidRPr="008C0395">
        <w:rPr>
          <w:rFonts w:ascii="Verdana" w:hAnsi="Verdana" w:cs="Times New Roman"/>
          <w:sz w:val="20"/>
          <w:szCs w:val="20"/>
        </w:rPr>
        <w:t>-SA supports the development of the next generation of public health professionals by:</w:t>
      </w:r>
    </w:p>
    <w:p w:rsidR="008C0395" w:rsidRPr="008C0395" w:rsidRDefault="008C0395" w:rsidP="008C0395">
      <w:pPr>
        <w:numPr>
          <w:ilvl w:val="0"/>
          <w:numId w:val="1"/>
        </w:numPr>
        <w:spacing w:beforeLines="1" w:afterLines="1"/>
        <w:rPr>
          <w:rFonts w:ascii="Times" w:hAnsi="Times"/>
          <w:sz w:val="20"/>
          <w:szCs w:val="20"/>
        </w:rPr>
      </w:pPr>
      <w:r w:rsidRPr="008C0395">
        <w:rPr>
          <w:rFonts w:ascii="Verdana" w:hAnsi="Verdana"/>
          <w:sz w:val="20"/>
          <w:szCs w:val="20"/>
        </w:rPr>
        <w:t xml:space="preserve">Increasing student representation in APHA </w:t>
      </w:r>
    </w:p>
    <w:p w:rsidR="008C0395" w:rsidRPr="008C0395" w:rsidRDefault="008C0395" w:rsidP="008C0395">
      <w:pPr>
        <w:numPr>
          <w:ilvl w:val="0"/>
          <w:numId w:val="1"/>
        </w:numPr>
        <w:spacing w:beforeLines="1" w:afterLines="1"/>
        <w:rPr>
          <w:rFonts w:ascii="Times" w:hAnsi="Times"/>
          <w:sz w:val="20"/>
          <w:szCs w:val="20"/>
        </w:rPr>
      </w:pPr>
      <w:r w:rsidRPr="008C0395">
        <w:rPr>
          <w:rFonts w:ascii="Verdana" w:hAnsi="Verdana"/>
          <w:sz w:val="20"/>
          <w:szCs w:val="20"/>
        </w:rPr>
        <w:t xml:space="preserve">Developing and disseminating educational and professional development resources </w:t>
      </w:r>
    </w:p>
    <w:p w:rsidR="008C0395" w:rsidRPr="008C0395" w:rsidRDefault="008C0395" w:rsidP="008C0395">
      <w:pPr>
        <w:numPr>
          <w:ilvl w:val="0"/>
          <w:numId w:val="1"/>
        </w:numPr>
        <w:spacing w:beforeLines="1" w:afterLines="1"/>
        <w:rPr>
          <w:rFonts w:ascii="Times" w:hAnsi="Times"/>
          <w:sz w:val="20"/>
          <w:szCs w:val="20"/>
        </w:rPr>
      </w:pPr>
      <w:r w:rsidRPr="008C0395">
        <w:rPr>
          <w:rFonts w:ascii="Verdana" w:hAnsi="Verdana"/>
          <w:sz w:val="20"/>
          <w:szCs w:val="20"/>
        </w:rPr>
        <w:t xml:space="preserve">Creating and promoting opportunities for student involvement within APHA-SA, APHA, and other health-related organizations </w:t>
      </w:r>
    </w:p>
    <w:p w:rsidR="008C0395" w:rsidRPr="008C0395" w:rsidRDefault="008C0395" w:rsidP="008C0395">
      <w:pPr>
        <w:numPr>
          <w:ilvl w:val="0"/>
          <w:numId w:val="1"/>
        </w:numPr>
        <w:spacing w:beforeLines="1" w:afterLines="1"/>
        <w:rPr>
          <w:rFonts w:ascii="Times" w:hAnsi="Times"/>
          <w:sz w:val="20"/>
          <w:szCs w:val="20"/>
        </w:rPr>
      </w:pPr>
      <w:r w:rsidRPr="008C0395">
        <w:rPr>
          <w:rFonts w:ascii="Verdana" w:hAnsi="Verdana"/>
          <w:sz w:val="20"/>
          <w:szCs w:val="20"/>
        </w:rPr>
        <w:t xml:space="preserve">Providing and sustaining vehicles for communication </w:t>
      </w:r>
    </w:p>
    <w:p w:rsidR="008C0395" w:rsidRPr="008C0395" w:rsidRDefault="008C0395" w:rsidP="008C0395">
      <w:pPr>
        <w:numPr>
          <w:ilvl w:val="0"/>
          <w:numId w:val="1"/>
        </w:numPr>
        <w:spacing w:beforeLines="1" w:afterLines="1"/>
        <w:rPr>
          <w:rFonts w:ascii="Times" w:hAnsi="Times"/>
          <w:sz w:val="20"/>
          <w:szCs w:val="20"/>
        </w:rPr>
      </w:pPr>
      <w:r w:rsidRPr="008C0395">
        <w:rPr>
          <w:rFonts w:ascii="Verdana" w:hAnsi="Verdana"/>
          <w:sz w:val="20"/>
          <w:szCs w:val="20"/>
        </w:rPr>
        <w:t xml:space="preserve">Advocating for student issues and public and health-related policy </w:t>
      </w:r>
    </w:p>
    <w:p w:rsidR="008C0395" w:rsidRPr="008C0395" w:rsidRDefault="008C0395" w:rsidP="008C0395">
      <w:pPr>
        <w:numPr>
          <w:ilvl w:val="0"/>
          <w:numId w:val="1"/>
        </w:numPr>
        <w:spacing w:beforeLines="1" w:afterLines="1"/>
        <w:rPr>
          <w:rFonts w:ascii="Times" w:hAnsi="Times"/>
          <w:sz w:val="20"/>
          <w:szCs w:val="20"/>
        </w:rPr>
      </w:pPr>
      <w:r w:rsidRPr="008C0395">
        <w:rPr>
          <w:rFonts w:ascii="Verdana" w:hAnsi="Verdana"/>
          <w:sz w:val="20"/>
          <w:szCs w:val="20"/>
        </w:rPr>
        <w:t xml:space="preserve">Facilitating networking among students and professionals </w:t>
      </w:r>
    </w:p>
    <w:p w:rsidR="008C0395" w:rsidRPr="008C0395" w:rsidRDefault="008C0395" w:rsidP="008C0395">
      <w:pPr>
        <w:spacing w:beforeLines="1" w:afterLines="1"/>
        <w:rPr>
          <w:rFonts w:ascii="Times" w:hAnsi="Times" w:cs="Times New Roman"/>
          <w:sz w:val="20"/>
          <w:szCs w:val="20"/>
        </w:rPr>
      </w:pPr>
      <w:r w:rsidRPr="008C0395">
        <w:rPr>
          <w:rFonts w:ascii="Verdana" w:hAnsi="Verdana" w:cs="Times New Roman"/>
          <w:b/>
          <w:sz w:val="20"/>
          <w:szCs w:val="20"/>
        </w:rPr>
        <w:t>Announcements!</w:t>
      </w:r>
    </w:p>
    <w:p w:rsidR="008C0395" w:rsidRPr="008C0395" w:rsidRDefault="008C0395" w:rsidP="008C0395">
      <w:pPr>
        <w:spacing w:beforeLines="1" w:afterLines="1"/>
        <w:rPr>
          <w:rFonts w:ascii="Times" w:hAnsi="Times" w:cs="Times New Roman"/>
          <w:sz w:val="20"/>
          <w:szCs w:val="20"/>
        </w:rPr>
      </w:pPr>
      <w:r w:rsidRPr="008C0395">
        <w:rPr>
          <w:rFonts w:ascii="Verdana" w:hAnsi="Verdana" w:cs="Times New Roman"/>
          <w:b/>
          <w:sz w:val="20"/>
          <w:szCs w:val="20"/>
        </w:rPr>
        <w:t>**New Features**</w:t>
      </w:r>
      <w:r w:rsidRPr="008C0395">
        <w:rPr>
          <w:rFonts w:ascii="Verdana" w:hAnsi="Verdana" w:cs="Times New Roman"/>
          <w:sz w:val="20"/>
          <w:szCs w:val="20"/>
        </w:rPr>
        <w:t xml:space="preserve">  </w:t>
      </w:r>
      <w:r w:rsidRPr="008C0395">
        <w:rPr>
          <w:rFonts w:ascii="Verdana" w:hAnsi="Verdana" w:cs="Times New Roman"/>
          <w:b/>
          <w:sz w:val="20"/>
          <w:szCs w:val="20"/>
        </w:rPr>
        <w:t xml:space="preserve">The </w:t>
      </w:r>
      <w:r w:rsidRPr="008C0395">
        <w:rPr>
          <w:rFonts w:ascii="Verdana" w:hAnsi="Verdana" w:cs="Times New Roman"/>
          <w:b/>
          <w:color w:val="000000"/>
          <w:sz w:val="20"/>
          <w:szCs w:val="20"/>
        </w:rPr>
        <w:t>National Mentoring Database</w:t>
      </w:r>
      <w:r w:rsidRPr="008C0395">
        <w:rPr>
          <w:rFonts w:ascii="Verdana" w:hAnsi="Verdana" w:cs="Times New Roman"/>
          <w:b/>
          <w:sz w:val="20"/>
          <w:szCs w:val="20"/>
        </w:rPr>
        <w:t>!</w:t>
      </w:r>
      <w:r w:rsidRPr="008C0395">
        <w:rPr>
          <w:rFonts w:ascii="Verdana" w:hAnsi="Verdana" w:cs="Times New Roman"/>
          <w:b/>
          <w:sz w:val="20"/>
          <w:szCs w:val="20"/>
        </w:rPr>
        <w:br/>
      </w:r>
      <w:r w:rsidRPr="008C0395">
        <w:rPr>
          <w:rFonts w:ascii="Verdana" w:hAnsi="Verdana" w:cs="Times New Roman"/>
          <w:sz w:val="20"/>
          <w:szCs w:val="20"/>
        </w:rPr>
        <w:t>Find a mentor or become a mentor </w:t>
      </w:r>
      <w:r w:rsidRPr="008C0395">
        <w:rPr>
          <w:rFonts w:ascii="Times" w:hAnsi="Times" w:cs="Times New Roman"/>
          <w:sz w:val="20"/>
          <w:szCs w:val="20"/>
        </w:rPr>
        <w:fldChar w:fldCharType="begin"/>
      </w:r>
      <w:r w:rsidRPr="008C0395">
        <w:rPr>
          <w:rFonts w:ascii="Times" w:hAnsi="Times" w:cs="Times New Roman"/>
          <w:sz w:val="20"/>
          <w:szCs w:val="20"/>
        </w:rPr>
        <w:instrText xml:space="preserve"> HYPERLINK "http://www.aphamentoring.org/" \t "_blank" </w:instrText>
      </w:r>
      <w:r w:rsidRPr="008C0395">
        <w:rPr>
          <w:rFonts w:ascii="Times" w:hAnsi="Times" w:cs="Times New Roman"/>
          <w:sz w:val="20"/>
          <w:szCs w:val="20"/>
        </w:rPr>
      </w:r>
      <w:r w:rsidRPr="008C0395">
        <w:rPr>
          <w:rFonts w:ascii="Times" w:hAnsi="Times" w:cs="Times New Roman"/>
          <w:sz w:val="20"/>
          <w:szCs w:val="20"/>
        </w:rPr>
        <w:fldChar w:fldCharType="separate"/>
      </w:r>
      <w:r w:rsidRPr="008C0395">
        <w:rPr>
          <w:rFonts w:ascii="Verdana" w:hAnsi="Verdana" w:cs="Times New Roman"/>
          <w:color w:val="005EC6"/>
          <w:sz w:val="20"/>
          <w:szCs w:val="20"/>
          <w:u w:val="single"/>
        </w:rPr>
        <w:t>here.</w:t>
      </w:r>
      <w:r w:rsidRPr="008C0395">
        <w:rPr>
          <w:rFonts w:ascii="Times" w:hAnsi="Times" w:cs="Times New Roman"/>
          <w:sz w:val="20"/>
          <w:szCs w:val="20"/>
        </w:rPr>
        <w:fldChar w:fldCharType="end"/>
      </w:r>
      <w:r w:rsidRPr="008C0395">
        <w:rPr>
          <w:rFonts w:ascii="Verdana" w:hAnsi="Verdana" w:cs="Times New Roman"/>
          <w:sz w:val="20"/>
          <w:szCs w:val="20"/>
        </w:rPr>
        <w:t>  For more information about the program, visit "Get Involved" in the left toolbar.</w:t>
      </w:r>
    </w:p>
    <w:p w:rsidR="00093391" w:rsidRDefault="00093391" w:rsidP="008C0395"/>
    <w:p w:rsidR="00093391" w:rsidRDefault="00093391" w:rsidP="008C0395"/>
    <w:p w:rsidR="00093391" w:rsidRDefault="0098640B" w:rsidP="00093391">
      <w:pPr>
        <w:rPr>
          <w:rFonts w:ascii="ArialMT" w:hAnsi="ArialMT"/>
          <w:sz w:val="26"/>
          <w:szCs w:val="26"/>
        </w:rPr>
      </w:pPr>
      <w:r>
        <w:rPr>
          <w:rFonts w:ascii="ArialMT" w:hAnsi="ArialMT"/>
          <w:sz w:val="26"/>
          <w:szCs w:val="26"/>
        </w:rPr>
        <w:br w:type="page"/>
      </w:r>
      <w:r w:rsidR="00093391">
        <w:rPr>
          <w:rFonts w:ascii="ArialMT" w:hAnsi="ArialMT"/>
          <w:sz w:val="26"/>
          <w:szCs w:val="26"/>
        </w:rPr>
        <w:t>2008 APHA abstract submission</w:t>
      </w:r>
      <w:r>
        <w:rPr>
          <w:rFonts w:ascii="ArialMT" w:hAnsi="ArialMT"/>
          <w:sz w:val="26"/>
          <w:szCs w:val="26"/>
        </w:rPr>
        <w:t xml:space="preserve"> EXAMPLE</w:t>
      </w:r>
      <w:r w:rsidR="00290512">
        <w:rPr>
          <w:rFonts w:ascii="ArialMT" w:hAnsi="ArialMT"/>
          <w:sz w:val="26"/>
          <w:szCs w:val="26"/>
        </w:rPr>
        <w:t xml:space="preserve"> #1</w:t>
      </w:r>
    </w:p>
    <w:p w:rsidR="00093391" w:rsidRDefault="00093391" w:rsidP="00093391">
      <w:pPr>
        <w:rPr>
          <w:rFonts w:ascii="ArialMT" w:hAnsi="ArialMT"/>
          <w:sz w:val="26"/>
          <w:szCs w:val="26"/>
        </w:rPr>
      </w:pPr>
    </w:p>
    <w:p w:rsidR="00093391" w:rsidRDefault="00093391" w:rsidP="00093391">
      <w:pPr>
        <w:rPr>
          <w:rFonts w:ascii="ArialMT" w:hAnsi="ArialMT"/>
          <w:sz w:val="26"/>
          <w:szCs w:val="26"/>
        </w:rPr>
      </w:pPr>
      <w:r>
        <w:rPr>
          <w:rFonts w:ascii="ArialMT" w:hAnsi="ArialMT"/>
          <w:sz w:val="26"/>
          <w:szCs w:val="26"/>
        </w:rPr>
        <w:t>Partnering between U.S. and Iraqi universities: conducting research on pediatric cancers and birth defects in Basra, Iraq, following war and sanctions</w:t>
      </w:r>
    </w:p>
    <w:p w:rsidR="00093391" w:rsidRDefault="00093391" w:rsidP="00093391">
      <w:pPr>
        <w:rPr>
          <w:rFonts w:ascii="ArialMT" w:hAnsi="ArialMT"/>
          <w:sz w:val="26"/>
          <w:szCs w:val="26"/>
        </w:rPr>
      </w:pPr>
    </w:p>
    <w:p w:rsidR="00093391" w:rsidRPr="00231541" w:rsidRDefault="00093391" w:rsidP="00093391">
      <w:r w:rsidRPr="00231541">
        <w:t>CO-AUTHORS: Amy Hagopian, PhD; Riyadh Lafta, MD, PhD; Jenan Hassan, MD; Dolphine Oda, DDS; Tim Takaro, MD, MPH, Scott Davis, PhD.</w:t>
      </w:r>
    </w:p>
    <w:p w:rsidR="00093391" w:rsidRDefault="00093391" w:rsidP="00093391">
      <w:pPr>
        <w:rPr>
          <w:color w:val="000000"/>
        </w:rPr>
      </w:pPr>
    </w:p>
    <w:p w:rsidR="00093391" w:rsidRDefault="00093391" w:rsidP="00093391">
      <w:pPr>
        <w:rPr>
          <w:color w:val="000000"/>
        </w:rPr>
      </w:pPr>
      <w:r w:rsidRPr="00965AE5">
        <w:rPr>
          <w:rFonts w:ascii="Lucida Grande" w:hAnsi="Lucida Grande"/>
          <w:color w:val="000000"/>
          <w:sz w:val="26"/>
        </w:rPr>
        <w:t>Abstract ID #</w:t>
      </w:r>
      <w:r>
        <w:rPr>
          <w:rFonts w:ascii="Helvetica" w:hAnsi="Helvetica"/>
        </w:rPr>
        <w:t xml:space="preserve">171375 </w:t>
      </w:r>
      <w:r w:rsidRPr="00965AE5">
        <w:rPr>
          <w:rFonts w:ascii="Lucida Grande" w:hAnsi="Lucida Grande"/>
          <w:color w:val="000000"/>
          <w:sz w:val="26"/>
        </w:rPr>
        <w:t>and password #</w:t>
      </w:r>
      <w:r w:rsidRPr="00752C10">
        <w:rPr>
          <w:rFonts w:ascii="Helvetica" w:hAnsi="Helvetica"/>
        </w:rPr>
        <w:t xml:space="preserve"> </w:t>
      </w:r>
      <w:r>
        <w:rPr>
          <w:rFonts w:ascii="Helvetica" w:hAnsi="Helvetica"/>
        </w:rPr>
        <w:t>987379.</w:t>
      </w:r>
      <w:r w:rsidRPr="00965AE5">
        <w:rPr>
          <w:rFonts w:ascii="Lucida Grande" w:hAnsi="Lucida Grande"/>
          <w:color w:val="000000"/>
          <w:sz w:val="26"/>
        </w:rPr>
        <w:br/>
      </w:r>
      <w:r>
        <w:rPr>
          <w:b/>
          <w:color w:val="000000"/>
        </w:rPr>
        <w:t>Program Selection:</w:t>
      </w:r>
      <w:r>
        <w:rPr>
          <w:color w:val="000000"/>
        </w:rPr>
        <w:t xml:space="preserve"> International Health</w:t>
      </w:r>
    </w:p>
    <w:p w:rsidR="00093391" w:rsidRPr="004478B3" w:rsidRDefault="00093391" w:rsidP="00093391">
      <w:r>
        <w:rPr>
          <w:b/>
          <w:color w:val="000000"/>
        </w:rPr>
        <w:t xml:space="preserve">Keywords: </w:t>
      </w:r>
      <w:r w:rsidRPr="004478B3">
        <w:t xml:space="preserve">Child Survival/Child Health and </w:t>
      </w:r>
      <w:r w:rsidRPr="00752C10">
        <w:t>Conflict, Security, Fragile States</w:t>
      </w:r>
    </w:p>
    <w:p w:rsidR="00093391" w:rsidRDefault="00093391" w:rsidP="00093391">
      <w:pPr>
        <w:rPr>
          <w:color w:val="000000"/>
        </w:rPr>
      </w:pPr>
      <w:r>
        <w:rPr>
          <w:b/>
          <w:color w:val="000000"/>
        </w:rPr>
        <w:t>Learning Objectives:</w:t>
      </w:r>
      <w:r>
        <w:rPr>
          <w:color w:val="000000"/>
        </w:rPr>
        <w:t xml:space="preserve"> Participants will be able to:</w:t>
      </w:r>
    </w:p>
    <w:p w:rsidR="00093391" w:rsidRDefault="00093391" w:rsidP="00093391">
      <w:pPr>
        <w:numPr>
          <w:ilvl w:val="0"/>
          <w:numId w:val="4"/>
        </w:numPr>
        <w:rPr>
          <w:color w:val="000000"/>
        </w:rPr>
      </w:pPr>
      <w:r>
        <w:rPr>
          <w:color w:val="000000"/>
        </w:rPr>
        <w:t>Discuss how academic partnership projects can advance research in fragile states</w:t>
      </w:r>
    </w:p>
    <w:p w:rsidR="00093391" w:rsidRDefault="00093391" w:rsidP="00093391">
      <w:pPr>
        <w:numPr>
          <w:ilvl w:val="0"/>
          <w:numId w:val="4"/>
        </w:numPr>
        <w:rPr>
          <w:color w:val="000000"/>
        </w:rPr>
      </w:pPr>
      <w:r>
        <w:rPr>
          <w:color w:val="000000"/>
        </w:rPr>
        <w:t>Evaluate the evidence for elevated levels of pediatric cancer and birth defects in Iraq generally, and especially the southern region around Basra</w:t>
      </w:r>
    </w:p>
    <w:p w:rsidR="00093391" w:rsidRDefault="00093391" w:rsidP="00093391">
      <w:pPr>
        <w:numPr>
          <w:ilvl w:val="0"/>
          <w:numId w:val="4"/>
        </w:numPr>
        <w:rPr>
          <w:color w:val="000000"/>
        </w:rPr>
      </w:pPr>
      <w:r>
        <w:rPr>
          <w:color w:val="000000"/>
        </w:rPr>
        <w:t xml:space="preserve">Explore hypotheses for the exposures, health systems changes, or other events that may correlate with these elevated rates </w:t>
      </w:r>
    </w:p>
    <w:p w:rsidR="00093391" w:rsidRDefault="00093391" w:rsidP="00093391">
      <w:pPr>
        <w:rPr>
          <w:color w:val="000000"/>
        </w:rPr>
      </w:pPr>
    </w:p>
    <w:p w:rsidR="00093391" w:rsidRDefault="00093391" w:rsidP="00093391">
      <w:pPr>
        <w:rPr>
          <w:color w:val="000000"/>
        </w:rPr>
      </w:pPr>
      <w:r>
        <w:rPr>
          <w:color w:val="000000"/>
        </w:rPr>
        <w:t>Target audiences: university faculty, students; mch; environmental health</w:t>
      </w:r>
    </w:p>
    <w:p w:rsidR="00093391" w:rsidRDefault="00093391" w:rsidP="00093391"/>
    <w:p w:rsidR="00093391" w:rsidRDefault="00093391" w:rsidP="00093391">
      <w:r>
        <w:t>After the U.S. invasion of Iraq in 2003, public health faculty and students at the University of Washington (U.W.) set out to establish a formal “sister-university” link between our school and an institution in Iraq.  A relationship was eventually formed with Basra University, located in a city near Iraq’s southern border with Kuwait.  Our proposed session will report on several subsequent partnership activities, focusing especially on an epidemiological research project on the health effects of 15 years of war and sanctions on the children of Basra.</w:t>
      </w:r>
    </w:p>
    <w:p w:rsidR="00093391" w:rsidRDefault="00093391" w:rsidP="00093391"/>
    <w:p w:rsidR="00093391" w:rsidRDefault="00093391" w:rsidP="00093391">
      <w:r>
        <w:t xml:space="preserve">Iraq’s national cancer registry shows a leukemia incidence rates for Iraqi children aged 0-14 have doubled between 1998 and 2001.  Kidney cancers have more than doubled, and brain cancer is up 54% in the same population. In Basra, the hospitals treating children have reported the number of total childhood malignancies in 2004 totaled 200, up from 19 in 1990.  In the case of leukemia, there were 15 cases at Basra hospitals in 1990, while in 2004 there were 98.  </w:t>
      </w:r>
    </w:p>
    <w:p w:rsidR="00093391" w:rsidRDefault="00093391" w:rsidP="00093391"/>
    <w:p w:rsidR="00093391" w:rsidRDefault="00093391" w:rsidP="00093391">
      <w:r>
        <w:t>We will discuss the limitations of these data, including challenges to public health research in the setting of sanctions and war. We will also briefly mention other aspects of the sister university partnership, including attempts to send medical supplies and materials, a textbook drive, sponsoring speakers, and related activities.</w:t>
      </w:r>
    </w:p>
    <w:p w:rsidR="0098640B" w:rsidRDefault="0098640B" w:rsidP="0098640B">
      <w:pPr>
        <w:rPr>
          <w:rFonts w:ascii="ArialMT" w:hAnsi="ArialMT"/>
          <w:sz w:val="26"/>
          <w:szCs w:val="26"/>
        </w:rPr>
      </w:pPr>
      <w:r>
        <w:br w:type="page"/>
      </w:r>
      <w:r w:rsidR="00290512">
        <w:t xml:space="preserve">EXAMPLE #2:  </w:t>
      </w:r>
      <w:r>
        <w:rPr>
          <w:rFonts w:ascii="ArialMT" w:hAnsi="ArialMT"/>
          <w:sz w:val="26"/>
          <w:szCs w:val="26"/>
        </w:rPr>
        <w:t>University of Washington “community development for health” class invites a mobile homeless encampment to the Seattle campus</w:t>
      </w:r>
    </w:p>
    <w:p w:rsidR="0098640B" w:rsidRDefault="0098640B" w:rsidP="0098640B">
      <w:pPr>
        <w:rPr>
          <w:rFonts w:ascii="ArialMT" w:hAnsi="ArialMT"/>
          <w:sz w:val="26"/>
          <w:szCs w:val="26"/>
        </w:rPr>
      </w:pPr>
    </w:p>
    <w:p w:rsidR="0098640B" w:rsidRDefault="0098640B" w:rsidP="0098640B">
      <w:pPr>
        <w:rPr>
          <w:color w:val="000000"/>
        </w:rPr>
      </w:pPr>
      <w:r w:rsidRPr="00225AF7">
        <w:rPr>
          <w:rFonts w:ascii="Helvetica" w:hAnsi="Helvetica" w:cs="Helvetica"/>
          <w:b/>
          <w:sz w:val="20"/>
          <w:szCs w:val="28"/>
          <w:lang w:bidi="en-US"/>
        </w:rPr>
        <w:t>AUTHORS:</w:t>
      </w:r>
      <w:r w:rsidRPr="00231541">
        <w:t xml:space="preserve"> Peter House, MHA and Amy Hagopian, PhD</w:t>
      </w:r>
    </w:p>
    <w:p w:rsidR="0098640B" w:rsidRPr="00225AF7" w:rsidRDefault="0098640B" w:rsidP="0098640B">
      <w:pPr>
        <w:tabs>
          <w:tab w:val="left" w:pos="7808"/>
        </w:tabs>
      </w:pPr>
      <w:r w:rsidRPr="00225AF7">
        <w:rPr>
          <w:rFonts w:ascii="Helvetica" w:hAnsi="Helvetica" w:cs="Helvetica"/>
          <w:b/>
          <w:sz w:val="20"/>
          <w:szCs w:val="28"/>
          <w:lang w:bidi="en-US"/>
        </w:rPr>
        <w:t>Keywords:</w:t>
      </w:r>
      <w:r>
        <w:rPr>
          <w:b/>
          <w:color w:val="000000"/>
        </w:rPr>
        <w:t xml:space="preserve"> </w:t>
      </w:r>
      <w:r>
        <w:rPr>
          <w:color w:val="000000"/>
        </w:rPr>
        <w:t>Homelessness, community development, higher education, academic public health</w:t>
      </w:r>
    </w:p>
    <w:p w:rsidR="0098640B" w:rsidRDefault="0098640B" w:rsidP="0098640B">
      <w:pPr>
        <w:rPr>
          <w:color w:val="000000"/>
        </w:rPr>
      </w:pPr>
    </w:p>
    <w:p w:rsidR="0098640B" w:rsidRPr="00225AF7" w:rsidRDefault="0098640B" w:rsidP="0098640B">
      <w:pPr>
        <w:rPr>
          <w:color w:val="000000"/>
        </w:rPr>
      </w:pPr>
      <w:r w:rsidRPr="00225AF7">
        <w:rPr>
          <w:rFonts w:ascii="Helvetica" w:hAnsi="Helvetica" w:cs="Helvetica"/>
          <w:b/>
          <w:sz w:val="20"/>
          <w:szCs w:val="28"/>
          <w:lang w:bidi="en-US"/>
        </w:rPr>
        <w:t>Target audiences:</w:t>
      </w:r>
      <w:r>
        <w:rPr>
          <w:color w:val="000000"/>
        </w:rPr>
        <w:t xml:space="preserve">  P</w:t>
      </w:r>
      <w:r w:rsidRPr="00225AF7">
        <w:rPr>
          <w:color w:val="000000"/>
        </w:rPr>
        <w:t>ublic policy makers and advocates, university public health faculty, health services researchers, community organizers.</w:t>
      </w:r>
    </w:p>
    <w:p w:rsidR="0098640B" w:rsidRDefault="0098640B" w:rsidP="0098640B">
      <w:pPr>
        <w:rPr>
          <w:color w:val="000000"/>
        </w:rPr>
      </w:pPr>
    </w:p>
    <w:p w:rsidR="0098640B" w:rsidRPr="00A5609C" w:rsidRDefault="0098640B" w:rsidP="0098640B">
      <w:pPr>
        <w:widowControl w:val="0"/>
        <w:autoSpaceDE w:val="0"/>
        <w:autoSpaceDN w:val="0"/>
        <w:adjustRightInd w:val="0"/>
        <w:rPr>
          <w:rFonts w:ascii="TimesNewRomanPSMT" w:hAnsi="TimesNewRomanPSMT" w:cs="TimesNewRomanPSMT"/>
          <w:lang w:bidi="en-US"/>
        </w:rPr>
      </w:pPr>
      <w:r w:rsidRPr="00225AF7">
        <w:rPr>
          <w:rFonts w:ascii="Helvetica" w:hAnsi="Helvetica" w:cs="Helvetica"/>
          <w:b/>
          <w:sz w:val="20"/>
          <w:szCs w:val="28"/>
          <w:lang w:bidi="en-US"/>
        </w:rPr>
        <w:t>Purpose</w:t>
      </w:r>
      <w:r w:rsidRPr="00225AF7">
        <w:rPr>
          <w:rFonts w:ascii="Helvetica" w:hAnsi="Helvetica" w:cs="Helvetica"/>
          <w:sz w:val="20"/>
          <w:szCs w:val="28"/>
          <w:lang w:bidi="en-US"/>
        </w:rPr>
        <w:t xml:space="preserve">: </w:t>
      </w:r>
      <w:r w:rsidRPr="00A5609C">
        <w:rPr>
          <w:rFonts w:ascii="TimesNewRomanPSMT" w:hAnsi="TimesNewRomanPSMT" w:cs="TimesNewRomanPSMT"/>
          <w:lang w:bidi="en-US"/>
        </w:rPr>
        <w:t>University of Washington School of Public Health faculty who had taught a community development class for a dozen years transformed the curriculum this year to involve students in an experiential service learning project.</w:t>
      </w:r>
      <w:r w:rsidRPr="00A8163F">
        <w:rPr>
          <w:rFonts w:ascii="TimesNewRomanPSMT" w:hAnsi="TimesNewRomanPSMT" w:cs="TimesNewRomanPSMT"/>
          <w:lang w:bidi="en-US"/>
        </w:rPr>
        <w:t xml:space="preserve"> The public health profession has traditionally focused on the proximate causes of morbidity and mortality, rather than the fundamental issues that lead to those manifestations of poor health. These underlying factors include poverty, isolation, alienation, powerlessness, and other factors that are best addressed by social activism rather than medical intervention. An interdisciplinary group of students (undergraduate and graduate students) worked with a team of faculty from across campus to gain knowledge of community development theory and build skills while carrying out this innovative project.</w:t>
      </w:r>
    </w:p>
    <w:p w:rsidR="0098640B" w:rsidRPr="00225AF7" w:rsidRDefault="0098640B" w:rsidP="0098640B">
      <w:pPr>
        <w:widowControl w:val="0"/>
        <w:autoSpaceDE w:val="0"/>
        <w:autoSpaceDN w:val="0"/>
        <w:adjustRightInd w:val="0"/>
        <w:rPr>
          <w:rFonts w:ascii="Helvetica" w:hAnsi="Helvetica" w:cs="Helvetica"/>
          <w:sz w:val="20"/>
          <w:szCs w:val="28"/>
          <w:lang w:bidi="en-US"/>
        </w:rPr>
      </w:pPr>
    </w:p>
    <w:p w:rsidR="0098640B" w:rsidRPr="00A8163F" w:rsidRDefault="0098640B" w:rsidP="0098640B">
      <w:pPr>
        <w:rPr>
          <w:rFonts w:ascii="TimesNewRomanPSMT" w:hAnsi="TimesNewRomanPSMT" w:cs="TimesNewRomanPSMT"/>
          <w:lang w:bidi="en-US"/>
        </w:rPr>
      </w:pPr>
      <w:r w:rsidRPr="00225AF7">
        <w:rPr>
          <w:rFonts w:ascii="Helvetica" w:hAnsi="Helvetica" w:cs="Helvetica"/>
          <w:b/>
          <w:sz w:val="20"/>
          <w:szCs w:val="28"/>
          <w:lang w:bidi="en-US"/>
        </w:rPr>
        <w:t>Data &amp; Methods</w:t>
      </w:r>
      <w:r w:rsidRPr="00225AF7">
        <w:rPr>
          <w:rFonts w:ascii="Helvetica" w:hAnsi="Helvetica" w:cs="Helvetica"/>
          <w:sz w:val="20"/>
          <w:szCs w:val="28"/>
          <w:lang w:bidi="en-US"/>
        </w:rPr>
        <w:t>: S</w:t>
      </w:r>
      <w:r w:rsidRPr="00A8163F">
        <w:rPr>
          <w:rFonts w:ascii="TimesNewRomanPSMT" w:hAnsi="TimesNewRomanPSMT" w:cs="TimesNewRomanPSMT"/>
          <w:lang w:bidi="en-US"/>
        </w:rPr>
        <w:t>tudents explored the determinants of health and gained community organizing skills through the project of bringing Seattle's self-governed Tent City to the U.W. campus. Students learned the power of social capital and community factors in promoting health while working with Tent City residents, University officials, and the campus community to welcome the encampment to the UW campus.</w:t>
      </w:r>
    </w:p>
    <w:p w:rsidR="0098640B" w:rsidRPr="00A5609C" w:rsidRDefault="0098640B" w:rsidP="0098640B">
      <w:pPr>
        <w:rPr>
          <w:rFonts w:ascii="TimesNewRomanPSMT" w:hAnsi="TimesNewRomanPSMT" w:cs="TimesNewRomanPSMT"/>
          <w:lang w:bidi="en-US"/>
        </w:rPr>
      </w:pPr>
    </w:p>
    <w:p w:rsidR="0098640B" w:rsidRPr="00A5609C" w:rsidRDefault="0098640B" w:rsidP="0098640B">
      <w:pPr>
        <w:rPr>
          <w:rFonts w:ascii="TimesNewRomanPSMT" w:hAnsi="TimesNewRomanPSMT" w:cs="TimesNewRomanPSMT"/>
          <w:lang w:bidi="en-US"/>
        </w:rPr>
      </w:pPr>
      <w:r w:rsidRPr="00225AF7">
        <w:rPr>
          <w:rFonts w:ascii="Helvetica" w:hAnsi="Helvetica" w:cs="Helvetica"/>
          <w:b/>
          <w:sz w:val="20"/>
          <w:szCs w:val="28"/>
          <w:lang w:bidi="en-US"/>
        </w:rPr>
        <w:t xml:space="preserve"> Results</w:t>
      </w:r>
      <w:r w:rsidRPr="00225AF7">
        <w:rPr>
          <w:rFonts w:ascii="Helvetica" w:hAnsi="Helvetica" w:cs="Helvetica"/>
          <w:sz w:val="20"/>
          <w:szCs w:val="28"/>
          <w:lang w:bidi="en-US"/>
        </w:rPr>
        <w:t xml:space="preserve">: </w:t>
      </w:r>
      <w:r w:rsidRPr="00A8163F">
        <w:rPr>
          <w:rFonts w:ascii="TimesNewRomanPSMT" w:hAnsi="TimesNewRomanPSMT" w:cs="TimesNewRomanPSMT"/>
          <w:lang w:bidi="en-US"/>
        </w:rPr>
        <w:t xml:space="preserve">Students took the lead in organizing to bring Tent City to the University of Washington, while creating joint learning opportunities for Tent City residents and UW students.  </w:t>
      </w:r>
    </w:p>
    <w:p w:rsidR="0098640B" w:rsidRPr="002634CA" w:rsidRDefault="0098640B" w:rsidP="0098640B"/>
    <w:p w:rsidR="0098640B" w:rsidRPr="002634CA" w:rsidRDefault="0098640B" w:rsidP="0098640B">
      <w:r w:rsidRPr="00225AF7">
        <w:rPr>
          <w:rFonts w:ascii="Helvetica" w:hAnsi="Helvetica" w:cs="Helvetica"/>
          <w:b/>
          <w:sz w:val="20"/>
          <w:szCs w:val="28"/>
          <w:lang w:bidi="en-US"/>
        </w:rPr>
        <w:t>Conclusion and recommendations</w:t>
      </w:r>
      <w:r w:rsidRPr="002634CA">
        <w:t>: Interdisciplinary faculty, using a public health framework, can take on a challenging (and even politically controversial) issue to create genuine and authentic learning opportunities around the determinants of health, while offering real benefits to an underserved population.</w:t>
      </w:r>
    </w:p>
    <w:p w:rsidR="0098640B" w:rsidRPr="002634CA" w:rsidRDefault="0098640B" w:rsidP="0098640B">
      <w:pPr>
        <w:spacing w:line="360" w:lineRule="auto"/>
        <w:jc w:val="both"/>
      </w:pPr>
    </w:p>
    <w:p w:rsidR="0098640B" w:rsidRDefault="0098640B" w:rsidP="0098640B">
      <w:pPr>
        <w:rPr>
          <w:color w:val="000000"/>
        </w:rPr>
      </w:pPr>
      <w:r w:rsidRPr="00225AF7">
        <w:rPr>
          <w:rFonts w:ascii="Helvetica" w:hAnsi="Helvetica" w:cs="Helvetica"/>
          <w:b/>
          <w:sz w:val="20"/>
          <w:szCs w:val="28"/>
          <w:lang w:bidi="en-US"/>
        </w:rPr>
        <w:t>Learning Objectives:</w:t>
      </w:r>
      <w:r>
        <w:rPr>
          <w:color w:val="000000"/>
        </w:rPr>
        <w:t xml:space="preserve"> </w:t>
      </w:r>
    </w:p>
    <w:p w:rsidR="0098640B" w:rsidRPr="00A5609C" w:rsidRDefault="0098640B" w:rsidP="0098640B">
      <w:pPr>
        <w:rPr>
          <w:i/>
          <w:color w:val="000000"/>
        </w:rPr>
      </w:pPr>
      <w:r w:rsidRPr="00A5609C">
        <w:rPr>
          <w:i/>
          <w:color w:val="000000"/>
        </w:rPr>
        <w:t>Participants will be able to:</w:t>
      </w:r>
    </w:p>
    <w:p w:rsidR="0098640B" w:rsidRPr="002634CA" w:rsidRDefault="0098640B" w:rsidP="0098640B">
      <w:r w:rsidRPr="00464F78">
        <w:t>1.</w:t>
      </w:r>
      <w:r w:rsidRPr="00464F78">
        <w:tab/>
      </w:r>
      <w:r w:rsidRPr="002634CA">
        <w:t>Construct learning objectives for a community development class aimed at engaging students in a problem-based learning approach to homelessness in an urban area.</w:t>
      </w:r>
    </w:p>
    <w:p w:rsidR="0098640B" w:rsidRPr="002634CA" w:rsidRDefault="0098640B" w:rsidP="0098640B">
      <w:r w:rsidRPr="002634CA">
        <w:t>2.</w:t>
      </w:r>
      <w:r w:rsidRPr="002634CA">
        <w:tab/>
        <w:t>Think creatively about using public health education as a means of engaging students in solving real-world public health problems.</w:t>
      </w:r>
    </w:p>
    <w:p w:rsidR="0098640B" w:rsidRPr="002634CA" w:rsidRDefault="0098640B" w:rsidP="0098640B">
      <w:pPr>
        <w:ind w:right="-630"/>
      </w:pPr>
    </w:p>
    <w:p w:rsidR="0098640B" w:rsidRDefault="0098640B" w:rsidP="0098640B">
      <w:r>
        <w:t xml:space="preserve">ID:  </w:t>
      </w:r>
      <w:r>
        <w:tab/>
        <w:t xml:space="preserve">204799, Password: </w:t>
      </w:r>
      <w:r>
        <w:tab/>
        <w:t>439845</w:t>
      </w:r>
    </w:p>
    <w:p w:rsidR="008C0395" w:rsidRDefault="008C0395" w:rsidP="008C0395"/>
    <w:sectPr w:rsidR="008C0395" w:rsidSect="008C03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61CD8"/>
    <w:multiLevelType w:val="multilevel"/>
    <w:tmpl w:val="7A5E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784AE4"/>
    <w:multiLevelType w:val="hybridMultilevel"/>
    <w:tmpl w:val="9B50EAD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03403B5"/>
    <w:multiLevelType w:val="multilevel"/>
    <w:tmpl w:val="AECE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4198A"/>
    <w:multiLevelType w:val="multilevel"/>
    <w:tmpl w:val="CE7C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C0395"/>
    <w:rsid w:val="00093391"/>
    <w:rsid w:val="00290512"/>
    <w:rsid w:val="008C0395"/>
    <w:rsid w:val="0098640B"/>
    <w:rsid w:val="00B1628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2C"/>
    <w:rPr>
      <w:rFonts w:ascii="Arial" w:hAnsi="Arial"/>
      <w:sz w:val="22"/>
      <w:szCs w:val="24"/>
    </w:rPr>
  </w:style>
  <w:style w:type="paragraph" w:styleId="Heading1">
    <w:name w:val="heading 1"/>
    <w:basedOn w:val="Normal"/>
    <w:next w:val="Normal"/>
    <w:link w:val="Heading1Char"/>
    <w:uiPriority w:val="9"/>
    <w:qFormat/>
    <w:rsid w:val="008C03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8C0395"/>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6D7437"/>
    <w:rPr>
      <w:rFonts w:ascii="Lucida Grande" w:hAnsi="Lucida Grande"/>
      <w:sz w:val="18"/>
      <w:szCs w:val="18"/>
    </w:rPr>
  </w:style>
  <w:style w:type="paragraph" w:styleId="NormalWeb">
    <w:name w:val="Normal (Web)"/>
    <w:basedOn w:val="Normal"/>
    <w:uiPriority w:val="99"/>
    <w:rsid w:val="008C0395"/>
    <w:pPr>
      <w:spacing w:beforeLines="1" w:afterLines="1"/>
    </w:pPr>
    <w:rPr>
      <w:rFonts w:ascii="Times" w:hAnsi="Times" w:cs="Times New Roman"/>
      <w:sz w:val="20"/>
      <w:szCs w:val="20"/>
    </w:rPr>
  </w:style>
  <w:style w:type="character" w:styleId="Strong">
    <w:name w:val="Strong"/>
    <w:basedOn w:val="DefaultParagraphFont"/>
    <w:uiPriority w:val="22"/>
    <w:rsid w:val="008C0395"/>
    <w:rPr>
      <w:b/>
    </w:rPr>
  </w:style>
  <w:style w:type="character" w:styleId="Hyperlink">
    <w:name w:val="Hyperlink"/>
    <w:basedOn w:val="DefaultParagraphFont"/>
    <w:uiPriority w:val="99"/>
    <w:rsid w:val="008C0395"/>
    <w:rPr>
      <w:color w:val="0000FF"/>
      <w:u w:val="single"/>
    </w:rPr>
  </w:style>
  <w:style w:type="character" w:customStyle="1" w:styleId="Heading2Char">
    <w:name w:val="Heading 2 Char"/>
    <w:basedOn w:val="DefaultParagraphFont"/>
    <w:link w:val="Heading2"/>
    <w:uiPriority w:val="9"/>
    <w:rsid w:val="008C0395"/>
    <w:rPr>
      <w:rFonts w:ascii="Times" w:hAnsi="Times"/>
      <w:b/>
      <w:sz w:val="36"/>
    </w:rPr>
  </w:style>
  <w:style w:type="character" w:customStyle="1" w:styleId="Heading1Char">
    <w:name w:val="Heading 1 Char"/>
    <w:basedOn w:val="DefaultParagraphFont"/>
    <w:link w:val="Heading1"/>
    <w:uiPriority w:val="9"/>
    <w:rsid w:val="008C039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772214663">
      <w:bodyDiv w:val="1"/>
      <w:marLeft w:val="0"/>
      <w:marRight w:val="0"/>
      <w:marTop w:val="0"/>
      <w:marBottom w:val="0"/>
      <w:divBdr>
        <w:top w:val="none" w:sz="0" w:space="0" w:color="auto"/>
        <w:left w:val="none" w:sz="0" w:space="0" w:color="auto"/>
        <w:bottom w:val="none" w:sz="0" w:space="0" w:color="auto"/>
        <w:right w:val="none" w:sz="0" w:space="0" w:color="auto"/>
      </w:divBdr>
    </w:div>
    <w:div w:id="1051618496">
      <w:bodyDiv w:val="1"/>
      <w:marLeft w:val="0"/>
      <w:marRight w:val="0"/>
      <w:marTop w:val="0"/>
      <w:marBottom w:val="0"/>
      <w:divBdr>
        <w:top w:val="none" w:sz="0" w:space="0" w:color="auto"/>
        <w:left w:val="none" w:sz="0" w:space="0" w:color="auto"/>
        <w:bottom w:val="none" w:sz="0" w:space="0" w:color="auto"/>
        <w:right w:val="none" w:sz="0" w:space="0" w:color="auto"/>
      </w:divBdr>
    </w:div>
    <w:div w:id="1291667558">
      <w:bodyDiv w:val="1"/>
      <w:marLeft w:val="0"/>
      <w:marRight w:val="0"/>
      <w:marTop w:val="0"/>
      <w:marBottom w:val="0"/>
      <w:divBdr>
        <w:top w:val="none" w:sz="0" w:space="0" w:color="auto"/>
        <w:left w:val="none" w:sz="0" w:space="0" w:color="auto"/>
        <w:bottom w:val="none" w:sz="0" w:space="0" w:color="auto"/>
        <w:right w:val="none" w:sz="0" w:space="0" w:color="auto"/>
      </w:divBdr>
    </w:div>
    <w:div w:id="1313558214">
      <w:bodyDiv w:val="1"/>
      <w:marLeft w:val="0"/>
      <w:marRight w:val="0"/>
      <w:marTop w:val="0"/>
      <w:marBottom w:val="0"/>
      <w:divBdr>
        <w:top w:val="none" w:sz="0" w:space="0" w:color="auto"/>
        <w:left w:val="none" w:sz="0" w:space="0" w:color="auto"/>
        <w:bottom w:val="none" w:sz="0" w:space="0" w:color="auto"/>
        <w:right w:val="none" w:sz="0" w:space="0" w:color="auto"/>
      </w:divBdr>
    </w:div>
    <w:div w:id="1495225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ha.org/advocacy/priorities/issues/TransportationIssues.htm" TargetMode="External"/><Relationship Id="rId12" Type="http://schemas.openxmlformats.org/officeDocument/2006/relationships/hyperlink" Target="http://www.apha.org/advocacy/priorities/issues/GlobalClimateChange.htm" TargetMode="External"/><Relationship Id="rId13" Type="http://schemas.openxmlformats.org/officeDocument/2006/relationships/hyperlink" Target="http://www.apha.org/advocacy/priorities/issues/FDATobacco.htm" TargetMode="External"/><Relationship Id="rId14" Type="http://schemas.openxmlformats.org/officeDocument/2006/relationships/hyperlink" Target="http://www.apha.org/" TargetMode="External"/><Relationship Id="rId15" Type="http://schemas.openxmlformats.org/officeDocument/2006/relationships/hyperlink" Target="http://www.apha.org/NR/rdonlyres/3E45ECA4-86EB-4575-8BE3-03EB92AC51DC/0/SA_Strategic_Plan_2007_2010.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ha.org/membergroups/" TargetMode="External"/><Relationship Id="rId6" Type="http://schemas.openxmlformats.org/officeDocument/2006/relationships/hyperlink" Target="http://www.apha.org/advocacy/priorities/issues/rebuilding/" TargetMode="External"/><Relationship Id="rId7" Type="http://schemas.openxmlformats.org/officeDocument/2006/relationships/hyperlink" Target="http://www.apha.org/advocacy/priorities/issues/access/" TargetMode="External"/><Relationship Id="rId8" Type="http://schemas.openxmlformats.org/officeDocument/2006/relationships/hyperlink" Target="http://www.apha.org/advocacy/priorities/issues/disparities/" TargetMode="External"/><Relationship Id="rId9" Type="http://schemas.openxmlformats.org/officeDocument/2006/relationships/hyperlink" Target="http://www.apha.org/advocacy/priorities/issues/PublicHealthFunding.htm" TargetMode="External"/><Relationship Id="rId10" Type="http://schemas.openxmlformats.org/officeDocument/2006/relationships/hyperlink" Target="http://www.apha.org/advocacy/healthiest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1138</Words>
  <Characters>6491</Characters>
  <Application>Microsoft Macintosh Word</Application>
  <DocSecurity>0</DocSecurity>
  <Lines>54</Lines>
  <Paragraphs>12</Paragraphs>
  <ScaleCrop>false</ScaleCrop>
  <Company>Health Alliance International</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 ThePeople</dc:creator>
  <cp:keywords/>
  <cp:lastModifiedBy>We ThePeople</cp:lastModifiedBy>
  <cp:revision>3</cp:revision>
  <dcterms:created xsi:type="dcterms:W3CDTF">2010-01-21T22:07:00Z</dcterms:created>
  <dcterms:modified xsi:type="dcterms:W3CDTF">2010-01-21T22:08:00Z</dcterms:modified>
</cp:coreProperties>
</file>